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3F" w:rsidRDefault="0003533F" w:rsidP="00843AEB">
      <w:pPr>
        <w:pStyle w:val="Default"/>
        <w:jc w:val="center"/>
        <w:rPr>
          <w:rFonts w:asciiTheme="majorHAnsi" w:hAnsiTheme="majorHAnsi"/>
          <w:b/>
          <w:bCs/>
        </w:rPr>
      </w:pPr>
      <w:r>
        <w:rPr>
          <w:noProof/>
          <w:lang w:eastAsia="fr-CH"/>
        </w:rPr>
        <w:drawing>
          <wp:inline distT="0" distB="0" distL="0" distR="0">
            <wp:extent cx="1632456" cy="1660441"/>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ille_SM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3200" cy="1661198"/>
                    </a:xfrm>
                    <a:prstGeom prst="rect">
                      <a:avLst/>
                    </a:prstGeom>
                  </pic:spPr>
                </pic:pic>
              </a:graphicData>
            </a:graphic>
          </wp:inline>
        </w:drawing>
      </w:r>
    </w:p>
    <w:p w:rsidR="0003533F" w:rsidRDefault="0003533F" w:rsidP="00843AEB">
      <w:pPr>
        <w:pStyle w:val="Default"/>
        <w:jc w:val="center"/>
        <w:rPr>
          <w:rFonts w:asciiTheme="majorHAnsi" w:hAnsiTheme="majorHAnsi"/>
          <w:b/>
          <w:bCs/>
        </w:rPr>
      </w:pPr>
    </w:p>
    <w:p w:rsidR="0060709B" w:rsidRDefault="00BD35B2" w:rsidP="00843AEB">
      <w:pPr>
        <w:pStyle w:val="Default"/>
        <w:jc w:val="center"/>
        <w:rPr>
          <w:rFonts w:asciiTheme="minorHAnsi" w:hAnsiTheme="minorHAnsi"/>
          <w:b/>
          <w:bCs/>
          <w:sz w:val="28"/>
          <w:szCs w:val="28"/>
        </w:rPr>
      </w:pPr>
      <w:r>
        <w:rPr>
          <w:rFonts w:asciiTheme="minorHAnsi" w:hAnsiTheme="minorHAnsi"/>
          <w:b/>
          <w:bCs/>
          <w:sz w:val="28"/>
          <w:szCs w:val="28"/>
        </w:rPr>
        <w:t>14 avril</w:t>
      </w:r>
      <w:r w:rsidR="00254D6D" w:rsidRPr="0060709B">
        <w:rPr>
          <w:rFonts w:asciiTheme="minorHAnsi" w:hAnsiTheme="minorHAnsi"/>
          <w:b/>
          <w:bCs/>
          <w:sz w:val="28"/>
          <w:szCs w:val="28"/>
        </w:rPr>
        <w:t xml:space="preserve"> 2015</w:t>
      </w:r>
      <w:r w:rsidR="00843AEB" w:rsidRPr="0060709B">
        <w:rPr>
          <w:rFonts w:asciiTheme="minorHAnsi" w:hAnsiTheme="minorHAnsi"/>
          <w:b/>
          <w:bCs/>
          <w:sz w:val="28"/>
          <w:szCs w:val="28"/>
        </w:rPr>
        <w:t xml:space="preserve"> </w:t>
      </w:r>
    </w:p>
    <w:p w:rsidR="00161161" w:rsidRPr="0060709B" w:rsidRDefault="00161161" w:rsidP="00843AEB">
      <w:pPr>
        <w:pStyle w:val="Default"/>
        <w:jc w:val="center"/>
        <w:rPr>
          <w:rFonts w:asciiTheme="minorHAnsi" w:hAnsiTheme="minorHAnsi"/>
          <w:b/>
          <w:bCs/>
          <w:sz w:val="28"/>
          <w:szCs w:val="28"/>
        </w:rPr>
      </w:pPr>
    </w:p>
    <w:p w:rsidR="00843AEB" w:rsidRPr="0060709B" w:rsidRDefault="00161161" w:rsidP="00636952">
      <w:pPr>
        <w:pStyle w:val="Default"/>
        <w:jc w:val="center"/>
        <w:rPr>
          <w:rFonts w:asciiTheme="minorHAnsi" w:hAnsiTheme="minorHAnsi"/>
          <w:b/>
          <w:bCs/>
          <w:sz w:val="28"/>
          <w:szCs w:val="28"/>
        </w:rPr>
      </w:pPr>
      <w:r>
        <w:rPr>
          <w:rFonts w:asciiTheme="minorHAnsi" w:hAnsiTheme="minorHAnsi"/>
          <w:b/>
          <w:bCs/>
          <w:sz w:val="28"/>
          <w:szCs w:val="28"/>
        </w:rPr>
        <w:t>19h</w:t>
      </w:r>
      <w:r w:rsidR="00636952">
        <w:rPr>
          <w:rFonts w:asciiTheme="minorHAnsi" w:hAnsiTheme="minorHAnsi"/>
          <w:b/>
          <w:bCs/>
          <w:sz w:val="28"/>
          <w:szCs w:val="28"/>
        </w:rPr>
        <w:t>15</w:t>
      </w:r>
      <w:r>
        <w:rPr>
          <w:rFonts w:asciiTheme="minorHAnsi" w:hAnsiTheme="minorHAnsi"/>
          <w:b/>
          <w:bCs/>
          <w:sz w:val="28"/>
          <w:szCs w:val="28"/>
        </w:rPr>
        <w:t xml:space="preserve"> </w:t>
      </w:r>
      <w:r w:rsidR="00636952">
        <w:rPr>
          <w:rFonts w:asciiTheme="minorHAnsi" w:hAnsiTheme="minorHAnsi"/>
          <w:b/>
          <w:bCs/>
          <w:sz w:val="28"/>
          <w:szCs w:val="28"/>
        </w:rPr>
        <w:t xml:space="preserve">Prof. </w:t>
      </w:r>
      <w:r w:rsidR="00BD35B2">
        <w:rPr>
          <w:rFonts w:asciiTheme="minorHAnsi" w:hAnsiTheme="minorHAnsi"/>
          <w:b/>
          <w:bCs/>
          <w:sz w:val="28"/>
          <w:szCs w:val="28"/>
        </w:rPr>
        <w:t>Bernard Baertschi</w:t>
      </w:r>
    </w:p>
    <w:p w:rsidR="00843AEB" w:rsidRPr="0060709B" w:rsidRDefault="00843AEB" w:rsidP="00E843E3">
      <w:pPr>
        <w:pStyle w:val="Default"/>
        <w:tabs>
          <w:tab w:val="left" w:pos="1425"/>
        </w:tabs>
        <w:ind w:left="-709"/>
        <w:rPr>
          <w:rFonts w:asciiTheme="minorHAnsi" w:hAnsiTheme="minorHAnsi"/>
          <w:sz w:val="28"/>
          <w:szCs w:val="28"/>
        </w:rPr>
      </w:pPr>
    </w:p>
    <w:p w:rsidR="00BD35B2" w:rsidRPr="00013469" w:rsidRDefault="00BD35B2" w:rsidP="00BD35B2">
      <w:pPr>
        <w:spacing w:line="276" w:lineRule="auto"/>
        <w:rPr>
          <w:rFonts w:ascii="Calibri" w:hAnsi="Calibri" w:cs="Arial"/>
          <w:i/>
          <w:sz w:val="26"/>
          <w:szCs w:val="26"/>
        </w:rPr>
      </w:pPr>
      <w:r>
        <w:rPr>
          <w:rFonts w:ascii="Calibri" w:eastAsia="Times New Roman" w:hAnsi="Calibri" w:cs="Arial"/>
          <w:bCs/>
          <w:i/>
          <w:sz w:val="26"/>
          <w:szCs w:val="26"/>
        </w:rPr>
        <w:t xml:space="preserve">      </w:t>
      </w:r>
      <w:r w:rsidRPr="00013469">
        <w:rPr>
          <w:rFonts w:ascii="Calibri" w:eastAsia="Times New Roman" w:hAnsi="Calibri" w:cs="Arial"/>
          <w:bCs/>
          <w:i/>
          <w:sz w:val="26"/>
          <w:szCs w:val="26"/>
        </w:rPr>
        <w:t>«</w:t>
      </w:r>
      <w:r w:rsidRPr="00A50401">
        <w:rPr>
          <w:rFonts w:ascii="Calibri" w:eastAsia="Times New Roman" w:hAnsi="Calibri" w:cs="Arial"/>
          <w:bCs/>
          <w:i/>
          <w:sz w:val="26"/>
          <w:szCs w:val="26"/>
        </w:rPr>
        <w:t>Les soucis éthiques suscités par les interventions dans le cerveau humain</w:t>
      </w:r>
      <w:r w:rsidRPr="00013469">
        <w:rPr>
          <w:rFonts w:ascii="Calibri" w:hAnsi="Calibri" w:cs="Arial"/>
          <w:i/>
          <w:sz w:val="26"/>
          <w:szCs w:val="26"/>
        </w:rPr>
        <w:t>»</w:t>
      </w:r>
    </w:p>
    <w:p w:rsidR="00BD35B2" w:rsidRPr="00A50401" w:rsidRDefault="00BD35B2" w:rsidP="00BD35B2">
      <w:pPr>
        <w:spacing w:line="276" w:lineRule="auto"/>
        <w:rPr>
          <w:rFonts w:ascii="Calibri" w:hAnsi="Calibri" w:cs="Arial"/>
          <w:sz w:val="26"/>
          <w:szCs w:val="26"/>
        </w:rPr>
      </w:pPr>
      <w:r w:rsidRPr="00A50401">
        <w:rPr>
          <w:rFonts w:ascii="Calibri" w:hAnsi="Calibri" w:cs="Arial"/>
          <w:sz w:val="26"/>
          <w:szCs w:val="26"/>
        </w:rPr>
        <w:t>Grâce aux progrès récents des neurosciences, il est devenu possible d'intervenir dans le cerveau humain de manière à la fois fine et ciblée: on n'est plus à l'époque des lobotomies et des thérapies électro-convulsives empiriques. C'est là une constatation encourageante pour la médecine (neurologie et psychiatrie), mais c'est aussi la source de certaines inquiétudes éthiques. En effet, le cerveau n'est pas un organe comme un autre, il est lié à la personne que nous sommes, à notre identité. Je me propose d'examiner ces inquiétudes et d'évaluer leur pertinence, en partant de l'exemple des implants cérébraux (DBS) et des médicaments. Il sera question de leur usage pour des finalités thérapeutiques, mais aussi sociales. Je terminerai par quelques réflexions sur l'amélioration de l'être humain (</w:t>
      </w:r>
      <w:proofErr w:type="spellStart"/>
      <w:r w:rsidRPr="00A50401">
        <w:rPr>
          <w:rFonts w:ascii="Calibri" w:hAnsi="Calibri" w:cs="Arial"/>
          <w:i/>
          <w:iCs/>
          <w:sz w:val="26"/>
          <w:szCs w:val="26"/>
        </w:rPr>
        <w:t>human</w:t>
      </w:r>
      <w:proofErr w:type="spellEnd"/>
      <w:r w:rsidRPr="00A50401">
        <w:rPr>
          <w:rFonts w:ascii="Calibri" w:hAnsi="Calibri" w:cs="Arial"/>
          <w:i/>
          <w:iCs/>
          <w:sz w:val="26"/>
          <w:szCs w:val="26"/>
        </w:rPr>
        <w:t xml:space="preserve"> </w:t>
      </w:r>
      <w:proofErr w:type="spellStart"/>
      <w:r w:rsidRPr="00A50401">
        <w:rPr>
          <w:rFonts w:ascii="Calibri" w:hAnsi="Calibri" w:cs="Arial"/>
          <w:i/>
          <w:iCs/>
          <w:sz w:val="26"/>
          <w:szCs w:val="26"/>
        </w:rPr>
        <w:t>enhancement</w:t>
      </w:r>
      <w:proofErr w:type="spellEnd"/>
      <w:r w:rsidRPr="00A50401">
        <w:rPr>
          <w:rFonts w:ascii="Calibri" w:hAnsi="Calibri" w:cs="Arial"/>
          <w:i/>
          <w:iCs/>
          <w:sz w:val="26"/>
          <w:szCs w:val="26"/>
        </w:rPr>
        <w:t>)</w:t>
      </w:r>
      <w:r w:rsidRPr="00A50401">
        <w:rPr>
          <w:rFonts w:ascii="Calibri" w:hAnsi="Calibri" w:cs="Arial"/>
          <w:sz w:val="26"/>
          <w:szCs w:val="26"/>
        </w:rPr>
        <w:t xml:space="preserve"> que ces avancées pourraient permettre.</w:t>
      </w:r>
      <w:r>
        <w:rPr>
          <w:rFonts w:ascii="Calibri" w:hAnsi="Calibri" w:cs="Arial"/>
          <w:sz w:val="26"/>
          <w:szCs w:val="26"/>
        </w:rPr>
        <w:t> »</w:t>
      </w:r>
    </w:p>
    <w:p w:rsidR="00843AEB" w:rsidRPr="0060709B" w:rsidRDefault="00843AEB" w:rsidP="00843AEB">
      <w:pPr>
        <w:pStyle w:val="Default"/>
        <w:rPr>
          <w:rFonts w:asciiTheme="minorHAnsi" w:hAnsiTheme="minorHAnsi" w:cs="Arial"/>
          <w:sz w:val="28"/>
          <w:szCs w:val="28"/>
        </w:rPr>
      </w:pPr>
    </w:p>
    <w:p w:rsidR="00E843E3" w:rsidRDefault="00BD35B2" w:rsidP="00E843E3">
      <w:pPr>
        <w:jc w:val="both"/>
        <w:rPr>
          <w:bCs/>
          <w:iCs/>
          <w:sz w:val="24"/>
          <w:szCs w:val="24"/>
        </w:rPr>
      </w:pPr>
      <w:bookmarkStart w:id="0" w:name="_GoBack"/>
      <w:r w:rsidRPr="00E843E3">
        <w:rPr>
          <w:b/>
          <w:bCs/>
          <w:iCs/>
          <w:sz w:val="24"/>
          <w:szCs w:val="24"/>
        </w:rPr>
        <w:t xml:space="preserve">Bernard </w:t>
      </w:r>
      <w:proofErr w:type="spellStart"/>
      <w:r w:rsidRPr="00E843E3">
        <w:rPr>
          <w:b/>
          <w:bCs/>
          <w:iCs/>
          <w:sz w:val="24"/>
          <w:szCs w:val="24"/>
        </w:rPr>
        <w:t>Baerstchi</w:t>
      </w:r>
      <w:proofErr w:type="spellEnd"/>
      <w:r w:rsidR="00636952" w:rsidRPr="00E843E3">
        <w:rPr>
          <w:b/>
          <w:bCs/>
          <w:iCs/>
          <w:sz w:val="24"/>
          <w:szCs w:val="24"/>
        </w:rPr>
        <w:t xml:space="preserve"> </w:t>
      </w:r>
      <w:r w:rsidR="00E843E3" w:rsidRPr="00E843E3">
        <w:rPr>
          <w:bCs/>
          <w:iCs/>
          <w:sz w:val="24"/>
          <w:szCs w:val="24"/>
        </w:rPr>
        <w:t xml:space="preserve">est né en 1949. Après des études universitaires menées à Fribourg, il a obtenu </w:t>
      </w:r>
      <w:r w:rsidR="00E843E3">
        <w:rPr>
          <w:bCs/>
          <w:iCs/>
          <w:sz w:val="24"/>
          <w:szCs w:val="24"/>
        </w:rPr>
        <w:t>s</w:t>
      </w:r>
      <w:r w:rsidR="00E843E3" w:rsidRPr="00E843E3">
        <w:rPr>
          <w:bCs/>
          <w:iCs/>
          <w:sz w:val="24"/>
          <w:szCs w:val="24"/>
        </w:rPr>
        <w:t xml:space="preserve">on doctorat en philosophie à l'Université de Genève. Sa thèse, consacrée à la pensée de Maine de </w:t>
      </w:r>
      <w:proofErr w:type="spellStart"/>
      <w:r w:rsidR="00E843E3" w:rsidRPr="00E843E3">
        <w:rPr>
          <w:bCs/>
          <w:iCs/>
          <w:sz w:val="24"/>
          <w:szCs w:val="24"/>
        </w:rPr>
        <w:t>Biran</w:t>
      </w:r>
      <w:proofErr w:type="spellEnd"/>
      <w:r w:rsidR="00E843E3" w:rsidRPr="00E843E3">
        <w:rPr>
          <w:bCs/>
          <w:iCs/>
          <w:sz w:val="24"/>
          <w:szCs w:val="24"/>
        </w:rPr>
        <w:t>, a obtenu le prix Rivier de l'Université de Lausanne (1981). Par la suite, il a été membre du CNRS (Paris) de 1980 à 1996, ainsi que du comité d'édition des </w:t>
      </w:r>
      <w:proofErr w:type="spellStart"/>
      <w:r w:rsidR="00E843E3" w:rsidRPr="00E843E3">
        <w:rPr>
          <w:bCs/>
          <w:iCs/>
          <w:sz w:val="24"/>
          <w:szCs w:val="24"/>
        </w:rPr>
        <w:fldChar w:fldCharType="begin"/>
      </w:r>
      <w:r w:rsidR="00E843E3" w:rsidRPr="00E843E3">
        <w:rPr>
          <w:bCs/>
          <w:iCs/>
          <w:sz w:val="24"/>
          <w:szCs w:val="24"/>
        </w:rPr>
        <w:instrText xml:space="preserve"> HYPERLINK "http://www.vrin.fr/html/main.htm?action=loadbook&amp;isbn=2711620751" </w:instrText>
      </w:r>
      <w:r w:rsidR="00E843E3" w:rsidRPr="00E843E3">
        <w:rPr>
          <w:bCs/>
          <w:iCs/>
          <w:sz w:val="24"/>
          <w:szCs w:val="24"/>
        </w:rPr>
        <w:fldChar w:fldCharType="separate"/>
      </w:r>
      <w:r w:rsidR="00E843E3" w:rsidRPr="00E843E3">
        <w:rPr>
          <w:rStyle w:val="Lienhypertexte"/>
          <w:bCs/>
          <w:iCs/>
          <w:sz w:val="24"/>
          <w:szCs w:val="24"/>
        </w:rPr>
        <w:t>Oeuvres</w:t>
      </w:r>
      <w:proofErr w:type="spellEnd"/>
      <w:r w:rsidR="00E843E3" w:rsidRPr="00E843E3">
        <w:rPr>
          <w:rStyle w:val="Lienhypertexte"/>
          <w:bCs/>
          <w:iCs/>
          <w:sz w:val="24"/>
          <w:szCs w:val="24"/>
        </w:rPr>
        <w:t xml:space="preserve"> de Maine de </w:t>
      </w:r>
      <w:proofErr w:type="spellStart"/>
      <w:r w:rsidR="00E843E3" w:rsidRPr="00E843E3">
        <w:rPr>
          <w:rStyle w:val="Lienhypertexte"/>
          <w:bCs/>
          <w:iCs/>
          <w:sz w:val="24"/>
          <w:szCs w:val="24"/>
        </w:rPr>
        <w:t>Biran</w:t>
      </w:r>
      <w:proofErr w:type="spellEnd"/>
      <w:r w:rsidR="00E843E3" w:rsidRPr="00E843E3">
        <w:rPr>
          <w:bCs/>
          <w:iCs/>
          <w:sz w:val="24"/>
          <w:szCs w:val="24"/>
        </w:rPr>
        <w:fldChar w:fldCharType="end"/>
      </w:r>
      <w:r w:rsidR="00E843E3" w:rsidRPr="00E843E3">
        <w:rPr>
          <w:bCs/>
          <w:iCs/>
          <w:sz w:val="24"/>
          <w:szCs w:val="24"/>
        </w:rPr>
        <w:t xml:space="preserve"> (Paris, </w:t>
      </w:r>
      <w:proofErr w:type="spellStart"/>
      <w:r w:rsidR="00E843E3" w:rsidRPr="00E843E3">
        <w:rPr>
          <w:bCs/>
          <w:iCs/>
          <w:sz w:val="24"/>
          <w:szCs w:val="24"/>
        </w:rPr>
        <w:t>Vrin</w:t>
      </w:r>
      <w:proofErr w:type="spellEnd"/>
      <w:r w:rsidR="00E843E3" w:rsidRPr="00E843E3">
        <w:rPr>
          <w:bCs/>
          <w:iCs/>
          <w:sz w:val="24"/>
          <w:szCs w:val="24"/>
        </w:rPr>
        <w:t xml:space="preserve">). Il a continué ses recherches sur la philosophie française au XVIIIe et XIXe siècles mais, parallèlement, il s'est intéressé à l'éthique fondamentale et aux rapports entre la philosophie et la médecine, notamment à la bioéthique et, plus récemment, à la </w:t>
      </w:r>
      <w:proofErr w:type="spellStart"/>
      <w:r w:rsidR="00E843E3" w:rsidRPr="00E843E3">
        <w:rPr>
          <w:bCs/>
          <w:iCs/>
          <w:sz w:val="24"/>
          <w:szCs w:val="24"/>
        </w:rPr>
        <w:t>neuroéthique</w:t>
      </w:r>
      <w:proofErr w:type="spellEnd"/>
      <w:r w:rsidR="00E843E3" w:rsidRPr="00E843E3">
        <w:rPr>
          <w:bCs/>
          <w:iCs/>
          <w:sz w:val="24"/>
          <w:szCs w:val="24"/>
        </w:rPr>
        <w:t>. Il a enseigné ces matières à l'Institut Éthique Histoire Humanités (anciennement Institut d'éthique biomédicale) et au département de philosophie de l'Université de Genève jusqu'en 2014. </w:t>
      </w:r>
    </w:p>
    <w:p w:rsidR="005A201F" w:rsidRPr="00E843E3" w:rsidRDefault="00E843E3" w:rsidP="00636952">
      <w:pPr>
        <w:jc w:val="both"/>
        <w:rPr>
          <w:sz w:val="28"/>
          <w:szCs w:val="28"/>
        </w:rPr>
      </w:pPr>
      <w:r w:rsidRPr="00E843E3">
        <w:rPr>
          <w:bCs/>
          <w:iCs/>
          <w:sz w:val="24"/>
          <w:szCs w:val="24"/>
        </w:rPr>
        <w:t>Il a été président de la </w:t>
      </w:r>
      <w:hyperlink r:id="rId6" w:history="1">
        <w:r w:rsidRPr="00E843E3">
          <w:rPr>
            <w:rStyle w:val="Lienhypertexte"/>
            <w:bCs/>
            <w:iCs/>
            <w:sz w:val="24"/>
            <w:szCs w:val="24"/>
          </w:rPr>
          <w:t>Société suisse de philosophie</w:t>
        </w:r>
      </w:hyperlink>
      <w:r w:rsidRPr="00E843E3">
        <w:rPr>
          <w:bCs/>
          <w:iCs/>
          <w:sz w:val="24"/>
          <w:szCs w:val="24"/>
        </w:rPr>
        <w:t> et membre du comité de cette dernière de 1983 à 1997, ainsi que rédacteur des </w:t>
      </w:r>
      <w:proofErr w:type="spellStart"/>
      <w:r w:rsidRPr="00E843E3">
        <w:rPr>
          <w:bCs/>
          <w:iCs/>
          <w:sz w:val="24"/>
          <w:szCs w:val="24"/>
        </w:rPr>
        <w:fldChar w:fldCharType="begin"/>
      </w:r>
      <w:r w:rsidRPr="00E843E3">
        <w:rPr>
          <w:bCs/>
          <w:iCs/>
          <w:sz w:val="24"/>
          <w:szCs w:val="24"/>
        </w:rPr>
        <w:instrText xml:space="preserve"> HYPERLINK "http://www.sagw.ch/fr/philosophie/Publikationen/studia-philosophica.html" </w:instrText>
      </w:r>
      <w:r w:rsidRPr="00E843E3">
        <w:rPr>
          <w:bCs/>
          <w:iCs/>
          <w:sz w:val="24"/>
          <w:szCs w:val="24"/>
        </w:rPr>
        <w:fldChar w:fldCharType="separate"/>
      </w:r>
      <w:r w:rsidRPr="00E843E3">
        <w:rPr>
          <w:rStyle w:val="Lienhypertexte"/>
          <w:bCs/>
          <w:iCs/>
          <w:sz w:val="24"/>
          <w:szCs w:val="24"/>
        </w:rPr>
        <w:t>Studia</w:t>
      </w:r>
      <w:proofErr w:type="spellEnd"/>
      <w:r w:rsidRPr="00E843E3">
        <w:rPr>
          <w:rStyle w:val="Lienhypertexte"/>
          <w:bCs/>
          <w:iCs/>
          <w:sz w:val="24"/>
          <w:szCs w:val="24"/>
        </w:rPr>
        <w:t xml:space="preserve"> </w:t>
      </w:r>
      <w:proofErr w:type="spellStart"/>
      <w:r w:rsidRPr="00E843E3">
        <w:rPr>
          <w:rStyle w:val="Lienhypertexte"/>
          <w:bCs/>
          <w:iCs/>
          <w:sz w:val="24"/>
          <w:szCs w:val="24"/>
        </w:rPr>
        <w:t>philosophica</w:t>
      </w:r>
      <w:proofErr w:type="spellEnd"/>
      <w:r w:rsidRPr="00E843E3">
        <w:rPr>
          <w:rStyle w:val="Lienhypertexte"/>
          <w:bCs/>
          <w:iCs/>
          <w:sz w:val="24"/>
          <w:szCs w:val="24"/>
        </w:rPr>
        <w:t> </w:t>
      </w:r>
      <w:r w:rsidRPr="00E843E3">
        <w:rPr>
          <w:bCs/>
          <w:iCs/>
          <w:sz w:val="24"/>
          <w:szCs w:val="24"/>
        </w:rPr>
        <w:fldChar w:fldCharType="end"/>
      </w:r>
      <w:r w:rsidRPr="00E843E3">
        <w:rPr>
          <w:bCs/>
          <w:iCs/>
          <w:sz w:val="24"/>
          <w:szCs w:val="24"/>
        </w:rPr>
        <w:t>de 1994 à 2005. Au printemps 2004, il a occupé la chaire municipale d'éthique de l'Université de Grenoble. Il a siégé dans diverses commissions d'éthique, dont la </w:t>
      </w:r>
      <w:hyperlink r:id="rId7" w:history="1">
        <w:r w:rsidRPr="00E843E3">
          <w:rPr>
            <w:rStyle w:val="Lienhypertexte"/>
            <w:bCs/>
            <w:iCs/>
            <w:sz w:val="24"/>
            <w:szCs w:val="24"/>
          </w:rPr>
          <w:t>Commission fédérale d</w:t>
        </w:r>
        <w:r>
          <w:rPr>
            <w:rStyle w:val="Lienhypertexte"/>
            <w:bCs/>
            <w:iCs/>
            <w:sz w:val="24"/>
            <w:szCs w:val="24"/>
          </w:rPr>
          <w:t>'éthique pour la biotechnologie</w:t>
        </w:r>
        <w:r w:rsidRPr="00E843E3">
          <w:rPr>
            <w:rStyle w:val="Lienhypertexte"/>
            <w:bCs/>
            <w:iCs/>
            <w:sz w:val="24"/>
            <w:szCs w:val="24"/>
          </w:rPr>
          <w:t xml:space="preserve"> dans le domaine non humain</w:t>
        </w:r>
      </w:hyperlink>
      <w:r w:rsidRPr="00E843E3">
        <w:rPr>
          <w:bCs/>
          <w:iCs/>
          <w:sz w:val="24"/>
          <w:szCs w:val="24"/>
        </w:rPr>
        <w:t> (CENH, Suisse) entre 2002 et 2014, et le Comité d'éthique de l'Inserm (CEI, France) depuis 2013.</w:t>
      </w:r>
      <w:r>
        <w:rPr>
          <w:bCs/>
          <w:iCs/>
          <w:sz w:val="24"/>
          <w:szCs w:val="24"/>
        </w:rPr>
        <w:t xml:space="preserve"> </w:t>
      </w:r>
      <w:r w:rsidRPr="00E843E3">
        <w:rPr>
          <w:bCs/>
          <w:iCs/>
          <w:sz w:val="24"/>
          <w:szCs w:val="24"/>
        </w:rPr>
        <w:t xml:space="preserve">Parmi les ouvrages qu’il a publiés, deux concernent les rapports de la philosophie et des neurosciences: </w:t>
      </w:r>
      <w:r w:rsidRPr="00E843E3">
        <w:rPr>
          <w:bCs/>
          <w:i/>
          <w:iCs/>
          <w:sz w:val="24"/>
          <w:szCs w:val="24"/>
        </w:rPr>
        <w:t xml:space="preserve">La </w:t>
      </w:r>
      <w:proofErr w:type="spellStart"/>
      <w:r w:rsidRPr="00E843E3">
        <w:rPr>
          <w:bCs/>
          <w:i/>
          <w:iCs/>
          <w:sz w:val="24"/>
          <w:szCs w:val="24"/>
        </w:rPr>
        <w:t>neuroéthique</w:t>
      </w:r>
      <w:proofErr w:type="spellEnd"/>
      <w:r w:rsidRPr="00E843E3">
        <w:rPr>
          <w:bCs/>
          <w:iCs/>
          <w:sz w:val="24"/>
          <w:szCs w:val="24"/>
        </w:rPr>
        <w:t xml:space="preserve"> (Paris, La Découverte, 2009) et </w:t>
      </w:r>
      <w:r w:rsidRPr="00E843E3">
        <w:rPr>
          <w:bCs/>
          <w:i/>
          <w:iCs/>
          <w:sz w:val="24"/>
          <w:szCs w:val="24"/>
        </w:rPr>
        <w:t>L’éthique à l’écoute des neurosciences</w:t>
      </w:r>
      <w:r w:rsidRPr="00E843E3">
        <w:rPr>
          <w:bCs/>
          <w:iCs/>
          <w:sz w:val="24"/>
          <w:szCs w:val="24"/>
        </w:rPr>
        <w:t> (Paris, Les Belles Lettres, 2013)</w:t>
      </w:r>
      <w:bookmarkEnd w:id="0"/>
      <w:r w:rsidRPr="00E843E3">
        <w:rPr>
          <w:bCs/>
          <w:iCs/>
          <w:sz w:val="24"/>
          <w:szCs w:val="24"/>
        </w:rPr>
        <w:t>.</w:t>
      </w:r>
    </w:p>
    <w:sectPr w:rsidR="005A201F" w:rsidRPr="00E843E3" w:rsidSect="00E843E3">
      <w:pgSz w:w="11906" w:h="16838"/>
      <w:pgMar w:top="851"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EB"/>
    <w:rsid w:val="0003533F"/>
    <w:rsid w:val="00161161"/>
    <w:rsid w:val="002268E4"/>
    <w:rsid w:val="00254D6D"/>
    <w:rsid w:val="002D7B26"/>
    <w:rsid w:val="00435B8F"/>
    <w:rsid w:val="005A201F"/>
    <w:rsid w:val="0060709B"/>
    <w:rsid w:val="00636952"/>
    <w:rsid w:val="00787113"/>
    <w:rsid w:val="00843AEB"/>
    <w:rsid w:val="008570AB"/>
    <w:rsid w:val="009777E5"/>
    <w:rsid w:val="00BD35B2"/>
    <w:rsid w:val="00BD468A"/>
    <w:rsid w:val="00D741B0"/>
    <w:rsid w:val="00E75CAA"/>
    <w:rsid w:val="00E843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3AEB"/>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0353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33F"/>
    <w:rPr>
      <w:rFonts w:ascii="Tahoma" w:hAnsi="Tahoma" w:cs="Tahoma"/>
      <w:sz w:val="16"/>
      <w:szCs w:val="16"/>
    </w:rPr>
  </w:style>
  <w:style w:type="character" w:styleId="lev">
    <w:name w:val="Strong"/>
    <w:basedOn w:val="Policepardfaut"/>
    <w:uiPriority w:val="22"/>
    <w:qFormat/>
    <w:rsid w:val="00254D6D"/>
    <w:rPr>
      <w:b/>
      <w:bCs/>
    </w:rPr>
  </w:style>
  <w:style w:type="character" w:styleId="Lienhypertexte">
    <w:name w:val="Hyperlink"/>
    <w:basedOn w:val="Policepardfaut"/>
    <w:uiPriority w:val="99"/>
    <w:unhideWhenUsed/>
    <w:rsid w:val="00E843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3AEB"/>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0353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33F"/>
    <w:rPr>
      <w:rFonts w:ascii="Tahoma" w:hAnsi="Tahoma" w:cs="Tahoma"/>
      <w:sz w:val="16"/>
      <w:szCs w:val="16"/>
    </w:rPr>
  </w:style>
  <w:style w:type="character" w:styleId="lev">
    <w:name w:val="Strong"/>
    <w:basedOn w:val="Policepardfaut"/>
    <w:uiPriority w:val="22"/>
    <w:qFormat/>
    <w:rsid w:val="00254D6D"/>
    <w:rPr>
      <w:b/>
      <w:bCs/>
    </w:rPr>
  </w:style>
  <w:style w:type="character" w:styleId="Lienhypertexte">
    <w:name w:val="Hyperlink"/>
    <w:basedOn w:val="Policepardfaut"/>
    <w:uiPriority w:val="99"/>
    <w:unhideWhenUsed/>
    <w:rsid w:val="00E84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015">
      <w:bodyDiv w:val="1"/>
      <w:marLeft w:val="0"/>
      <w:marRight w:val="0"/>
      <w:marTop w:val="0"/>
      <w:marBottom w:val="0"/>
      <w:divBdr>
        <w:top w:val="none" w:sz="0" w:space="0" w:color="auto"/>
        <w:left w:val="none" w:sz="0" w:space="0" w:color="auto"/>
        <w:bottom w:val="none" w:sz="0" w:space="0" w:color="auto"/>
        <w:right w:val="none" w:sz="0" w:space="0" w:color="auto"/>
      </w:divBdr>
    </w:div>
    <w:div w:id="449203098">
      <w:bodyDiv w:val="1"/>
      <w:marLeft w:val="0"/>
      <w:marRight w:val="0"/>
      <w:marTop w:val="0"/>
      <w:marBottom w:val="0"/>
      <w:divBdr>
        <w:top w:val="none" w:sz="0" w:space="0" w:color="auto"/>
        <w:left w:val="none" w:sz="0" w:space="0" w:color="auto"/>
        <w:bottom w:val="none" w:sz="0" w:space="0" w:color="auto"/>
        <w:right w:val="none" w:sz="0" w:space="0" w:color="auto"/>
      </w:divBdr>
    </w:div>
    <w:div w:id="1007751428">
      <w:bodyDiv w:val="1"/>
      <w:marLeft w:val="0"/>
      <w:marRight w:val="0"/>
      <w:marTop w:val="0"/>
      <w:marBottom w:val="0"/>
      <w:divBdr>
        <w:top w:val="none" w:sz="0" w:space="0" w:color="auto"/>
        <w:left w:val="none" w:sz="0" w:space="0" w:color="auto"/>
        <w:bottom w:val="none" w:sz="0" w:space="0" w:color="auto"/>
        <w:right w:val="none" w:sz="0" w:space="0" w:color="auto"/>
      </w:divBdr>
    </w:div>
    <w:div w:id="1045718732">
      <w:bodyDiv w:val="1"/>
      <w:marLeft w:val="0"/>
      <w:marRight w:val="0"/>
      <w:marTop w:val="0"/>
      <w:marBottom w:val="0"/>
      <w:divBdr>
        <w:top w:val="none" w:sz="0" w:space="0" w:color="auto"/>
        <w:left w:val="none" w:sz="0" w:space="0" w:color="auto"/>
        <w:bottom w:val="none" w:sz="0" w:space="0" w:color="auto"/>
        <w:right w:val="none" w:sz="0" w:space="0" w:color="auto"/>
      </w:divBdr>
    </w:div>
    <w:div w:id="1452743394">
      <w:bodyDiv w:val="1"/>
      <w:marLeft w:val="0"/>
      <w:marRight w:val="0"/>
      <w:marTop w:val="0"/>
      <w:marBottom w:val="0"/>
      <w:divBdr>
        <w:top w:val="none" w:sz="0" w:space="0" w:color="auto"/>
        <w:left w:val="none" w:sz="0" w:space="0" w:color="auto"/>
        <w:bottom w:val="none" w:sz="0" w:space="0" w:color="auto"/>
        <w:right w:val="none" w:sz="0" w:space="0" w:color="auto"/>
      </w:divBdr>
    </w:div>
    <w:div w:id="15355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kah.admin.ch/fr/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gw.ch/fr/philosophie/portrait.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Thanh</dc:creator>
  <cp:lastModifiedBy>Alexandra Mandofia</cp:lastModifiedBy>
  <cp:revision>2</cp:revision>
  <dcterms:created xsi:type="dcterms:W3CDTF">2015-03-18T11:18:00Z</dcterms:created>
  <dcterms:modified xsi:type="dcterms:W3CDTF">2015-03-18T11:18:00Z</dcterms:modified>
</cp:coreProperties>
</file>